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2A3" w:rsidRPr="008359DD" w:rsidRDefault="00E652A3" w:rsidP="00E652A3">
      <w:pPr>
        <w:adjustRightInd w:val="0"/>
        <w:snapToGrid w:val="0"/>
        <w:rPr>
          <w:rFonts w:ascii="Times New Roman" w:hAnsi="Times New Roman" w:cs="Times New Roman"/>
          <w:b/>
          <w:bCs/>
        </w:rPr>
      </w:pPr>
    </w:p>
    <w:p w:rsidR="00E652A3" w:rsidRPr="008359DD" w:rsidRDefault="00E652A3" w:rsidP="00E652A3">
      <w:pPr>
        <w:adjustRightInd w:val="0"/>
        <w:snapToGrid w:val="0"/>
        <w:rPr>
          <w:rFonts w:ascii="Times New Roman" w:hAnsi="Times New Roman" w:cs="Times New Roman"/>
          <w:b/>
          <w:bCs/>
        </w:rPr>
      </w:pPr>
    </w:p>
    <w:p w:rsidR="00E652A3" w:rsidRPr="008359DD" w:rsidRDefault="00E652A3" w:rsidP="00E652A3">
      <w:pPr>
        <w:adjustRightInd w:val="0"/>
        <w:snapToGrid w:val="0"/>
        <w:rPr>
          <w:rFonts w:ascii="Times New Roman" w:hAnsi="Times New Roman" w:cs="Times New Roman"/>
          <w:b/>
        </w:rPr>
      </w:pPr>
      <w:r w:rsidRPr="008359DD">
        <w:rPr>
          <w:rFonts w:ascii="Times New Roman" w:hAnsi="Times New Roman" w:cs="Times New Roman"/>
          <w:b/>
          <w:bCs/>
        </w:rPr>
        <w:t xml:space="preserve">Supplementary </w:t>
      </w:r>
      <w:r w:rsidRPr="008359DD">
        <w:rPr>
          <w:rFonts w:ascii="Times New Roman" w:hAnsi="Times New Roman" w:cs="Times New Roman"/>
          <w:b/>
        </w:rPr>
        <w:t>Table. 4 - Multivariate linear regression analysis for total hospitalization charges in IBD patients with CMV infection.</w:t>
      </w:r>
    </w:p>
    <w:p w:rsidR="00E652A3" w:rsidRPr="008359DD" w:rsidRDefault="00E652A3" w:rsidP="00E652A3">
      <w:pPr>
        <w:adjustRightInd w:val="0"/>
        <w:snapToGrid w:val="0"/>
        <w:rPr>
          <w:rFonts w:ascii="Times New Roman" w:hAnsi="Times New Roman" w:cs="Times New Roman"/>
        </w:rPr>
      </w:pPr>
    </w:p>
    <w:tbl>
      <w:tblPr>
        <w:tblStyle w:val="GridTable4Accent1"/>
        <w:tblW w:w="9559" w:type="dxa"/>
        <w:tblLook w:val="04A0"/>
      </w:tblPr>
      <w:tblGrid>
        <w:gridCol w:w="3492"/>
        <w:gridCol w:w="1840"/>
        <w:gridCol w:w="1837"/>
        <w:gridCol w:w="2390"/>
      </w:tblGrid>
      <w:tr w:rsidR="00E652A3" w:rsidRPr="00D76FBE" w:rsidTr="008A105C">
        <w:trPr>
          <w:cnfStyle w:val="100000000000"/>
          <w:trHeight w:val="334"/>
        </w:trPr>
        <w:tc>
          <w:tcPr>
            <w:cnfStyle w:val="001000000000"/>
            <w:tcW w:w="3492" w:type="dxa"/>
          </w:tcPr>
          <w:p w:rsidR="00E652A3" w:rsidRPr="008359DD" w:rsidRDefault="00E652A3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Parameters</w:t>
            </w:r>
          </w:p>
        </w:tc>
        <w:tc>
          <w:tcPr>
            <w:tcW w:w="1840" w:type="dxa"/>
          </w:tcPr>
          <w:p w:rsidR="00E652A3" w:rsidRPr="008359DD" w:rsidRDefault="00E652A3" w:rsidP="008A105C">
            <w:pPr>
              <w:adjustRightInd w:val="0"/>
              <w:snapToGrid w:val="0"/>
              <w:cnfStyle w:val="1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Odds Ratio</w:t>
            </w:r>
          </w:p>
        </w:tc>
        <w:tc>
          <w:tcPr>
            <w:tcW w:w="1837" w:type="dxa"/>
          </w:tcPr>
          <w:p w:rsidR="00E652A3" w:rsidRPr="008359DD" w:rsidRDefault="00E652A3" w:rsidP="008A105C">
            <w:pPr>
              <w:adjustRightInd w:val="0"/>
              <w:snapToGrid w:val="0"/>
              <w:cnfStyle w:val="1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2390" w:type="dxa"/>
          </w:tcPr>
          <w:p w:rsidR="00E652A3" w:rsidRPr="008359DD" w:rsidRDefault="00E652A3" w:rsidP="008A105C">
            <w:pPr>
              <w:adjustRightInd w:val="0"/>
              <w:snapToGrid w:val="0"/>
              <w:cnfStyle w:val="1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p Value</w:t>
            </w:r>
          </w:p>
        </w:tc>
      </w:tr>
      <w:tr w:rsidR="00E652A3" w:rsidRPr="00D76FBE" w:rsidTr="008A105C">
        <w:trPr>
          <w:cnfStyle w:val="000000100000"/>
          <w:trHeight w:val="358"/>
        </w:trPr>
        <w:tc>
          <w:tcPr>
            <w:cnfStyle w:val="001000000000"/>
            <w:tcW w:w="3492" w:type="dxa"/>
          </w:tcPr>
          <w:p w:rsidR="00E652A3" w:rsidRPr="008359DD" w:rsidRDefault="00E652A3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840" w:type="dxa"/>
          </w:tcPr>
          <w:p w:rsidR="00E652A3" w:rsidRPr="008359DD" w:rsidRDefault="00E652A3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- 0.12</w:t>
            </w:r>
          </w:p>
        </w:tc>
        <w:tc>
          <w:tcPr>
            <w:tcW w:w="1837" w:type="dxa"/>
          </w:tcPr>
          <w:p w:rsidR="00E652A3" w:rsidRPr="008359DD" w:rsidRDefault="00E652A3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- 0.13 to – 0.11</w:t>
            </w:r>
          </w:p>
        </w:tc>
        <w:tc>
          <w:tcPr>
            <w:tcW w:w="2390" w:type="dxa"/>
          </w:tcPr>
          <w:p w:rsidR="00E652A3" w:rsidRPr="008359DD" w:rsidRDefault="00E652A3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&lt;0.001</w:t>
            </w:r>
          </w:p>
        </w:tc>
      </w:tr>
      <w:tr w:rsidR="00E652A3" w:rsidRPr="00D76FBE" w:rsidTr="008A105C">
        <w:trPr>
          <w:trHeight w:val="334"/>
        </w:trPr>
        <w:tc>
          <w:tcPr>
            <w:cnfStyle w:val="001000000000"/>
            <w:tcW w:w="3492" w:type="dxa"/>
          </w:tcPr>
          <w:p w:rsidR="00E652A3" w:rsidRPr="008359DD" w:rsidRDefault="00E652A3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Female vs Male</w:t>
            </w:r>
          </w:p>
        </w:tc>
        <w:tc>
          <w:tcPr>
            <w:tcW w:w="1840" w:type="dxa"/>
          </w:tcPr>
          <w:p w:rsidR="00E652A3" w:rsidRPr="008359DD" w:rsidRDefault="00E652A3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- 0.06</w:t>
            </w:r>
          </w:p>
        </w:tc>
        <w:tc>
          <w:tcPr>
            <w:tcW w:w="1837" w:type="dxa"/>
          </w:tcPr>
          <w:p w:rsidR="00E652A3" w:rsidRPr="008359DD" w:rsidRDefault="00E652A3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-0.12 to -0.004</w:t>
            </w:r>
          </w:p>
        </w:tc>
        <w:tc>
          <w:tcPr>
            <w:tcW w:w="2390" w:type="dxa"/>
          </w:tcPr>
          <w:p w:rsidR="00E652A3" w:rsidRPr="008359DD" w:rsidRDefault="00E652A3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0.03</w:t>
            </w:r>
          </w:p>
        </w:tc>
      </w:tr>
      <w:tr w:rsidR="00E652A3" w:rsidRPr="00D76FBE" w:rsidTr="008A105C">
        <w:trPr>
          <w:cnfStyle w:val="000000100000"/>
          <w:trHeight w:val="1338"/>
        </w:trPr>
        <w:tc>
          <w:tcPr>
            <w:cnfStyle w:val="001000000000"/>
            <w:tcW w:w="3492" w:type="dxa"/>
          </w:tcPr>
          <w:p w:rsidR="00E652A3" w:rsidRPr="008359DD" w:rsidRDefault="00E652A3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Insurance</w:t>
            </w:r>
          </w:p>
          <w:p w:rsidR="00E652A3" w:rsidRPr="008359DD" w:rsidRDefault="00E652A3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private</w:t>
            </w:r>
          </w:p>
          <w:p w:rsidR="00E652A3" w:rsidRPr="008359DD" w:rsidRDefault="00E652A3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Public Vs Private</w:t>
            </w:r>
          </w:p>
          <w:p w:rsidR="00E652A3" w:rsidRPr="008359DD" w:rsidRDefault="00E652A3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SP/Uninsured vs Private</w:t>
            </w:r>
          </w:p>
        </w:tc>
        <w:tc>
          <w:tcPr>
            <w:tcW w:w="1840" w:type="dxa"/>
          </w:tcPr>
          <w:p w:rsidR="00E652A3" w:rsidRPr="008359DD" w:rsidRDefault="00E652A3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</w:p>
          <w:p w:rsidR="00E652A3" w:rsidRPr="008359DD" w:rsidRDefault="00E652A3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Reference</w:t>
            </w:r>
          </w:p>
          <w:p w:rsidR="00E652A3" w:rsidRPr="008359DD" w:rsidRDefault="00E652A3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0.22</w:t>
            </w:r>
          </w:p>
          <w:p w:rsidR="00E652A3" w:rsidRPr="008359DD" w:rsidRDefault="00E652A3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- 0.20</w:t>
            </w:r>
          </w:p>
        </w:tc>
        <w:tc>
          <w:tcPr>
            <w:tcW w:w="1837" w:type="dxa"/>
          </w:tcPr>
          <w:p w:rsidR="00E652A3" w:rsidRPr="008359DD" w:rsidRDefault="00E652A3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</w:p>
          <w:p w:rsidR="00E652A3" w:rsidRPr="008359DD" w:rsidRDefault="00E652A3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</w:p>
          <w:p w:rsidR="00E652A3" w:rsidRPr="008359DD" w:rsidRDefault="00E652A3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0.10 to 0.33</w:t>
            </w:r>
          </w:p>
          <w:p w:rsidR="00E652A3" w:rsidRPr="008359DD" w:rsidRDefault="00E652A3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- 0.31 to – 0.09</w:t>
            </w:r>
          </w:p>
        </w:tc>
        <w:tc>
          <w:tcPr>
            <w:tcW w:w="2390" w:type="dxa"/>
          </w:tcPr>
          <w:p w:rsidR="00E652A3" w:rsidRPr="008359DD" w:rsidRDefault="00E652A3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</w:p>
          <w:p w:rsidR="00E652A3" w:rsidRPr="008359DD" w:rsidRDefault="00E652A3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</w:p>
          <w:p w:rsidR="00E652A3" w:rsidRPr="008359DD" w:rsidRDefault="00E652A3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&lt;0.001</w:t>
            </w:r>
          </w:p>
          <w:p w:rsidR="00E652A3" w:rsidRPr="008359DD" w:rsidRDefault="00E652A3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&lt;0.001</w:t>
            </w:r>
          </w:p>
        </w:tc>
      </w:tr>
      <w:tr w:rsidR="00E652A3" w:rsidRPr="00D76FBE" w:rsidTr="008A105C">
        <w:trPr>
          <w:trHeight w:val="1649"/>
        </w:trPr>
        <w:tc>
          <w:tcPr>
            <w:cnfStyle w:val="001000000000"/>
            <w:tcW w:w="3492" w:type="dxa"/>
          </w:tcPr>
          <w:p w:rsidR="00E652A3" w:rsidRPr="008359DD" w:rsidRDefault="00E652A3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Race</w:t>
            </w:r>
          </w:p>
          <w:p w:rsidR="00E652A3" w:rsidRPr="008359DD" w:rsidRDefault="00E652A3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Caucasian</w:t>
            </w:r>
          </w:p>
          <w:p w:rsidR="00E652A3" w:rsidRPr="008359DD" w:rsidRDefault="00E652A3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African American vs Caucasian</w:t>
            </w:r>
          </w:p>
          <w:p w:rsidR="00E652A3" w:rsidRPr="008359DD" w:rsidRDefault="00E652A3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Hispanic vs Caucasian</w:t>
            </w:r>
          </w:p>
          <w:p w:rsidR="00E652A3" w:rsidRPr="008359DD" w:rsidRDefault="00E652A3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Others vs Caucasian</w:t>
            </w:r>
          </w:p>
        </w:tc>
        <w:tc>
          <w:tcPr>
            <w:tcW w:w="1840" w:type="dxa"/>
          </w:tcPr>
          <w:p w:rsidR="00E652A3" w:rsidRPr="008359DD" w:rsidRDefault="00E652A3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</w:p>
          <w:p w:rsidR="00E652A3" w:rsidRPr="008359DD" w:rsidRDefault="00E652A3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Reference</w:t>
            </w:r>
          </w:p>
          <w:p w:rsidR="00E652A3" w:rsidRPr="008359DD" w:rsidRDefault="00E652A3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0.11</w:t>
            </w:r>
          </w:p>
          <w:p w:rsidR="00E652A3" w:rsidRPr="008359DD" w:rsidRDefault="00E652A3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0.43</w:t>
            </w:r>
          </w:p>
          <w:p w:rsidR="00E652A3" w:rsidRPr="008359DD" w:rsidRDefault="00E652A3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837" w:type="dxa"/>
          </w:tcPr>
          <w:p w:rsidR="00E652A3" w:rsidRPr="008359DD" w:rsidRDefault="00E652A3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</w:p>
          <w:p w:rsidR="00E652A3" w:rsidRPr="008359DD" w:rsidRDefault="00E652A3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</w:p>
          <w:p w:rsidR="00E652A3" w:rsidRPr="008359DD" w:rsidRDefault="00E652A3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0.02 to 0.21</w:t>
            </w:r>
          </w:p>
          <w:p w:rsidR="00E652A3" w:rsidRPr="008359DD" w:rsidRDefault="00E652A3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0.32 to 0.54</w:t>
            </w:r>
          </w:p>
          <w:p w:rsidR="00E652A3" w:rsidRPr="008359DD" w:rsidRDefault="00E652A3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- 0.04 to 0.10</w:t>
            </w:r>
          </w:p>
        </w:tc>
        <w:tc>
          <w:tcPr>
            <w:tcW w:w="2390" w:type="dxa"/>
          </w:tcPr>
          <w:p w:rsidR="00E652A3" w:rsidRPr="008359DD" w:rsidRDefault="00E652A3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</w:p>
          <w:p w:rsidR="00E652A3" w:rsidRPr="008359DD" w:rsidRDefault="00E652A3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</w:p>
          <w:p w:rsidR="00E652A3" w:rsidRPr="008359DD" w:rsidRDefault="00E652A3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0.01</w:t>
            </w:r>
          </w:p>
          <w:p w:rsidR="00E652A3" w:rsidRPr="008359DD" w:rsidRDefault="00E652A3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&lt;0.001</w:t>
            </w:r>
          </w:p>
          <w:p w:rsidR="00E652A3" w:rsidRPr="008359DD" w:rsidRDefault="00E652A3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0.46</w:t>
            </w:r>
          </w:p>
        </w:tc>
      </w:tr>
      <w:tr w:rsidR="00E652A3" w:rsidRPr="00D76FBE" w:rsidTr="008A105C">
        <w:trPr>
          <w:cnfStyle w:val="000000100000"/>
          <w:trHeight w:val="1338"/>
        </w:trPr>
        <w:tc>
          <w:tcPr>
            <w:cnfStyle w:val="001000000000"/>
            <w:tcW w:w="3492" w:type="dxa"/>
          </w:tcPr>
          <w:p w:rsidR="00E652A3" w:rsidRPr="008359DD" w:rsidRDefault="00E652A3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Bed Size</w:t>
            </w:r>
          </w:p>
          <w:p w:rsidR="00E652A3" w:rsidRPr="008359DD" w:rsidRDefault="00E652A3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Large</w:t>
            </w:r>
          </w:p>
          <w:p w:rsidR="00E652A3" w:rsidRPr="008359DD" w:rsidRDefault="00E652A3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Medium vs Large</w:t>
            </w:r>
          </w:p>
          <w:p w:rsidR="00E652A3" w:rsidRPr="008359DD" w:rsidRDefault="00E652A3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Small vs Large</w:t>
            </w:r>
          </w:p>
        </w:tc>
        <w:tc>
          <w:tcPr>
            <w:tcW w:w="1840" w:type="dxa"/>
          </w:tcPr>
          <w:p w:rsidR="00E652A3" w:rsidRPr="008359DD" w:rsidRDefault="00E652A3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</w:p>
          <w:p w:rsidR="00E652A3" w:rsidRPr="008359DD" w:rsidRDefault="00E652A3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Reference</w:t>
            </w:r>
          </w:p>
          <w:p w:rsidR="00E652A3" w:rsidRPr="008359DD" w:rsidRDefault="00E652A3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- 0.17</w:t>
            </w:r>
          </w:p>
          <w:p w:rsidR="00E652A3" w:rsidRPr="008359DD" w:rsidRDefault="00E652A3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- 0.56</w:t>
            </w:r>
          </w:p>
        </w:tc>
        <w:tc>
          <w:tcPr>
            <w:tcW w:w="1837" w:type="dxa"/>
          </w:tcPr>
          <w:p w:rsidR="00E652A3" w:rsidRPr="008359DD" w:rsidRDefault="00E652A3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</w:p>
          <w:p w:rsidR="00E652A3" w:rsidRPr="008359DD" w:rsidRDefault="00E652A3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</w:p>
          <w:p w:rsidR="00E652A3" w:rsidRPr="008359DD" w:rsidRDefault="00E652A3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- 0.24 to – 0.10</w:t>
            </w:r>
          </w:p>
          <w:p w:rsidR="00E652A3" w:rsidRPr="008359DD" w:rsidRDefault="00E652A3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- 0.65 to – 0.47</w:t>
            </w:r>
          </w:p>
        </w:tc>
        <w:tc>
          <w:tcPr>
            <w:tcW w:w="2390" w:type="dxa"/>
          </w:tcPr>
          <w:p w:rsidR="00E652A3" w:rsidRPr="008359DD" w:rsidRDefault="00E652A3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</w:p>
          <w:p w:rsidR="00E652A3" w:rsidRPr="008359DD" w:rsidRDefault="00E652A3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</w:p>
          <w:p w:rsidR="00E652A3" w:rsidRPr="008359DD" w:rsidRDefault="00E652A3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&lt;0.001</w:t>
            </w:r>
          </w:p>
          <w:p w:rsidR="00E652A3" w:rsidRPr="008359DD" w:rsidRDefault="00E652A3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&lt;0.001</w:t>
            </w:r>
          </w:p>
        </w:tc>
      </w:tr>
      <w:tr w:rsidR="00E652A3" w:rsidRPr="00D76FBE" w:rsidTr="008A105C">
        <w:trPr>
          <w:trHeight w:val="669"/>
        </w:trPr>
        <w:tc>
          <w:tcPr>
            <w:cnfStyle w:val="001000000000"/>
            <w:tcW w:w="3492" w:type="dxa"/>
          </w:tcPr>
          <w:p w:rsidR="00E652A3" w:rsidRPr="008359DD" w:rsidRDefault="00E652A3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Elective vs Non- elective hospitalization</w:t>
            </w:r>
          </w:p>
        </w:tc>
        <w:tc>
          <w:tcPr>
            <w:tcW w:w="1840" w:type="dxa"/>
          </w:tcPr>
          <w:p w:rsidR="00E652A3" w:rsidRPr="008359DD" w:rsidRDefault="00E652A3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1837" w:type="dxa"/>
          </w:tcPr>
          <w:p w:rsidR="00E652A3" w:rsidRPr="008359DD" w:rsidRDefault="00E652A3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0.04 to 0.18</w:t>
            </w:r>
          </w:p>
        </w:tc>
        <w:tc>
          <w:tcPr>
            <w:tcW w:w="2390" w:type="dxa"/>
          </w:tcPr>
          <w:p w:rsidR="00E652A3" w:rsidRPr="008359DD" w:rsidRDefault="00E652A3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0.002</w:t>
            </w:r>
          </w:p>
        </w:tc>
      </w:tr>
      <w:tr w:rsidR="00E652A3" w:rsidRPr="00D76FBE" w:rsidTr="008A105C">
        <w:trPr>
          <w:cnfStyle w:val="000000100000"/>
          <w:trHeight w:val="358"/>
        </w:trPr>
        <w:tc>
          <w:tcPr>
            <w:cnfStyle w:val="001000000000"/>
            <w:tcW w:w="3492" w:type="dxa"/>
          </w:tcPr>
          <w:p w:rsidR="00E652A3" w:rsidRPr="008359DD" w:rsidRDefault="00E652A3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Transplant</w:t>
            </w:r>
          </w:p>
        </w:tc>
        <w:tc>
          <w:tcPr>
            <w:tcW w:w="1840" w:type="dxa"/>
          </w:tcPr>
          <w:p w:rsidR="00E652A3" w:rsidRPr="008359DD" w:rsidRDefault="00E652A3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3.64</w:t>
            </w:r>
          </w:p>
        </w:tc>
        <w:tc>
          <w:tcPr>
            <w:tcW w:w="1837" w:type="dxa"/>
          </w:tcPr>
          <w:p w:rsidR="00E652A3" w:rsidRPr="008359DD" w:rsidRDefault="00E652A3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3.31 to 3.96</w:t>
            </w:r>
          </w:p>
        </w:tc>
        <w:tc>
          <w:tcPr>
            <w:tcW w:w="2390" w:type="dxa"/>
          </w:tcPr>
          <w:p w:rsidR="00E652A3" w:rsidRPr="008359DD" w:rsidRDefault="00E652A3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&lt;0.001</w:t>
            </w:r>
          </w:p>
        </w:tc>
      </w:tr>
      <w:tr w:rsidR="00E652A3" w:rsidRPr="00D76FBE" w:rsidTr="008A105C">
        <w:trPr>
          <w:trHeight w:val="334"/>
        </w:trPr>
        <w:tc>
          <w:tcPr>
            <w:cnfStyle w:val="001000000000"/>
            <w:tcW w:w="3492" w:type="dxa"/>
          </w:tcPr>
          <w:p w:rsidR="00E652A3" w:rsidRPr="008359DD" w:rsidRDefault="00E652A3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Malignancies</w:t>
            </w:r>
          </w:p>
        </w:tc>
        <w:tc>
          <w:tcPr>
            <w:tcW w:w="1840" w:type="dxa"/>
          </w:tcPr>
          <w:p w:rsidR="00E652A3" w:rsidRPr="008359DD" w:rsidRDefault="00E652A3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8.51</w:t>
            </w:r>
          </w:p>
        </w:tc>
        <w:tc>
          <w:tcPr>
            <w:tcW w:w="1837" w:type="dxa"/>
          </w:tcPr>
          <w:p w:rsidR="00E652A3" w:rsidRPr="008359DD" w:rsidRDefault="00E652A3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8.20 to 8.82</w:t>
            </w:r>
          </w:p>
        </w:tc>
        <w:tc>
          <w:tcPr>
            <w:tcW w:w="2390" w:type="dxa"/>
          </w:tcPr>
          <w:p w:rsidR="00E652A3" w:rsidRPr="008359DD" w:rsidRDefault="00E652A3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&lt;0.001</w:t>
            </w:r>
          </w:p>
        </w:tc>
      </w:tr>
      <w:tr w:rsidR="00E652A3" w:rsidRPr="00D76FBE" w:rsidTr="008A105C">
        <w:trPr>
          <w:cnfStyle w:val="000000100000"/>
          <w:trHeight w:val="334"/>
        </w:trPr>
        <w:tc>
          <w:tcPr>
            <w:cnfStyle w:val="001000000000"/>
            <w:tcW w:w="3492" w:type="dxa"/>
          </w:tcPr>
          <w:p w:rsidR="00E652A3" w:rsidRPr="008359DD" w:rsidRDefault="00E652A3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Immunodeficiency disorder</w:t>
            </w:r>
          </w:p>
        </w:tc>
        <w:tc>
          <w:tcPr>
            <w:tcW w:w="1840" w:type="dxa"/>
          </w:tcPr>
          <w:p w:rsidR="00E652A3" w:rsidRPr="008359DD" w:rsidRDefault="00E652A3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3.87</w:t>
            </w:r>
          </w:p>
        </w:tc>
        <w:tc>
          <w:tcPr>
            <w:tcW w:w="1837" w:type="dxa"/>
          </w:tcPr>
          <w:p w:rsidR="00E652A3" w:rsidRPr="008359DD" w:rsidRDefault="00E652A3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3.51 to 4.24</w:t>
            </w:r>
          </w:p>
        </w:tc>
        <w:tc>
          <w:tcPr>
            <w:tcW w:w="2390" w:type="dxa"/>
          </w:tcPr>
          <w:p w:rsidR="00E652A3" w:rsidRPr="008359DD" w:rsidRDefault="00E652A3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&lt;0.001</w:t>
            </w:r>
          </w:p>
        </w:tc>
      </w:tr>
      <w:tr w:rsidR="00E652A3" w:rsidRPr="00D76FBE" w:rsidTr="008A105C">
        <w:trPr>
          <w:trHeight w:val="1338"/>
        </w:trPr>
        <w:tc>
          <w:tcPr>
            <w:cnfStyle w:val="001000000000"/>
            <w:tcW w:w="3492" w:type="dxa"/>
          </w:tcPr>
          <w:p w:rsidR="00E652A3" w:rsidRPr="008359DD" w:rsidRDefault="00E652A3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IBD Severity</w:t>
            </w:r>
          </w:p>
          <w:p w:rsidR="00E652A3" w:rsidRPr="008359DD" w:rsidRDefault="00E652A3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Low</w:t>
            </w:r>
          </w:p>
          <w:p w:rsidR="00E652A3" w:rsidRPr="008359DD" w:rsidRDefault="00E652A3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Intermediate</w:t>
            </w:r>
          </w:p>
          <w:p w:rsidR="00E652A3" w:rsidRPr="008359DD" w:rsidRDefault="00E652A3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Severe</w:t>
            </w:r>
          </w:p>
        </w:tc>
        <w:tc>
          <w:tcPr>
            <w:tcW w:w="1840" w:type="dxa"/>
          </w:tcPr>
          <w:p w:rsidR="00E652A3" w:rsidRPr="008359DD" w:rsidRDefault="00E652A3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</w:p>
          <w:p w:rsidR="00E652A3" w:rsidRPr="008359DD" w:rsidRDefault="00E652A3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Reference</w:t>
            </w:r>
          </w:p>
          <w:p w:rsidR="00E652A3" w:rsidRPr="008359DD" w:rsidRDefault="00E652A3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3.27</w:t>
            </w:r>
          </w:p>
          <w:p w:rsidR="00E652A3" w:rsidRPr="008359DD" w:rsidRDefault="00E652A3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8.59</w:t>
            </w:r>
          </w:p>
        </w:tc>
        <w:tc>
          <w:tcPr>
            <w:tcW w:w="1837" w:type="dxa"/>
          </w:tcPr>
          <w:p w:rsidR="00E652A3" w:rsidRPr="008359DD" w:rsidRDefault="00E652A3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</w:p>
          <w:p w:rsidR="00E652A3" w:rsidRPr="008359DD" w:rsidRDefault="00E652A3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</w:p>
          <w:p w:rsidR="00E652A3" w:rsidRPr="008359DD" w:rsidRDefault="00E652A3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3.20 to 3.34</w:t>
            </w:r>
          </w:p>
          <w:p w:rsidR="00E652A3" w:rsidRPr="008359DD" w:rsidRDefault="00E652A3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8.45 to 8.72</w:t>
            </w:r>
          </w:p>
        </w:tc>
        <w:tc>
          <w:tcPr>
            <w:tcW w:w="2390" w:type="dxa"/>
          </w:tcPr>
          <w:p w:rsidR="00E652A3" w:rsidRPr="008359DD" w:rsidRDefault="00E652A3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</w:p>
          <w:p w:rsidR="00E652A3" w:rsidRPr="008359DD" w:rsidRDefault="00E652A3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</w:p>
          <w:p w:rsidR="00E652A3" w:rsidRPr="008359DD" w:rsidRDefault="00E652A3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&lt;0.001</w:t>
            </w:r>
          </w:p>
          <w:p w:rsidR="00E652A3" w:rsidRPr="008359DD" w:rsidRDefault="00E652A3" w:rsidP="008A105C">
            <w:pPr>
              <w:adjustRightInd w:val="0"/>
              <w:snapToGrid w:val="0"/>
              <w:cnfStyle w:val="0000000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&lt;0.001</w:t>
            </w:r>
          </w:p>
        </w:tc>
      </w:tr>
      <w:tr w:rsidR="00E652A3" w:rsidRPr="00D76FBE" w:rsidTr="008A105C">
        <w:trPr>
          <w:cnfStyle w:val="000000100000"/>
          <w:trHeight w:val="358"/>
        </w:trPr>
        <w:tc>
          <w:tcPr>
            <w:cnfStyle w:val="001000000000"/>
            <w:tcW w:w="3492" w:type="dxa"/>
          </w:tcPr>
          <w:p w:rsidR="00E652A3" w:rsidRPr="008359DD" w:rsidRDefault="00E652A3" w:rsidP="008A105C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CMV infection</w:t>
            </w:r>
          </w:p>
        </w:tc>
        <w:tc>
          <w:tcPr>
            <w:tcW w:w="1840" w:type="dxa"/>
          </w:tcPr>
          <w:p w:rsidR="00E652A3" w:rsidRPr="008359DD" w:rsidRDefault="00E652A3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9.57</w:t>
            </w:r>
          </w:p>
        </w:tc>
        <w:tc>
          <w:tcPr>
            <w:tcW w:w="1837" w:type="dxa"/>
          </w:tcPr>
          <w:p w:rsidR="00E652A3" w:rsidRPr="008359DD" w:rsidRDefault="00E652A3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9.01 to 10.14</w:t>
            </w:r>
          </w:p>
        </w:tc>
        <w:tc>
          <w:tcPr>
            <w:tcW w:w="2390" w:type="dxa"/>
          </w:tcPr>
          <w:p w:rsidR="00E652A3" w:rsidRPr="008359DD" w:rsidRDefault="00E652A3" w:rsidP="008A105C">
            <w:pPr>
              <w:adjustRightInd w:val="0"/>
              <w:snapToGrid w:val="0"/>
              <w:cnfStyle w:val="000000100000"/>
              <w:rPr>
                <w:rFonts w:ascii="Times New Roman" w:hAnsi="Times New Roman" w:cs="Times New Roman"/>
              </w:rPr>
            </w:pPr>
            <w:r w:rsidRPr="008359DD">
              <w:rPr>
                <w:rFonts w:ascii="Times New Roman" w:hAnsi="Times New Roman" w:cs="Times New Roman"/>
              </w:rPr>
              <w:t>&lt;0.001</w:t>
            </w:r>
          </w:p>
        </w:tc>
      </w:tr>
    </w:tbl>
    <w:p w:rsidR="00E652A3" w:rsidRPr="008359DD" w:rsidRDefault="00E652A3" w:rsidP="00E652A3">
      <w:pPr>
        <w:pStyle w:val="Bibliography"/>
        <w:adjustRightInd w:val="0"/>
        <w:snapToGrid w:val="0"/>
        <w:rPr>
          <w:rFonts w:ascii="Times New Roman" w:hAnsi="Times New Roman" w:cs="Times New Roman"/>
        </w:rPr>
      </w:pPr>
    </w:p>
    <w:p w:rsidR="00E652A3" w:rsidRPr="008359DD" w:rsidRDefault="00E652A3" w:rsidP="00E652A3">
      <w:pPr>
        <w:adjustRightInd w:val="0"/>
        <w:snapToGrid w:val="0"/>
        <w:rPr>
          <w:rFonts w:ascii="Times New Roman" w:hAnsi="Times New Roman" w:cs="Times New Roman"/>
        </w:rPr>
      </w:pPr>
    </w:p>
    <w:p w:rsidR="00E652A3" w:rsidRPr="008359DD" w:rsidRDefault="00E652A3" w:rsidP="00E652A3">
      <w:pPr>
        <w:adjustRightInd w:val="0"/>
        <w:snapToGrid w:val="0"/>
        <w:rPr>
          <w:rFonts w:ascii="Times New Roman" w:hAnsi="Times New Roman" w:cs="Times New Roman"/>
        </w:rPr>
      </w:pPr>
    </w:p>
    <w:p w:rsidR="00E652A3" w:rsidRPr="008359DD" w:rsidRDefault="00E652A3" w:rsidP="00E652A3">
      <w:pPr>
        <w:adjustRightInd w:val="0"/>
        <w:snapToGrid w:val="0"/>
        <w:rPr>
          <w:rFonts w:ascii="Times New Roman" w:hAnsi="Times New Roman" w:cs="Times New Roman"/>
        </w:rPr>
      </w:pPr>
    </w:p>
    <w:p w:rsidR="00E652A3" w:rsidRPr="008359DD" w:rsidRDefault="00E652A3" w:rsidP="00E652A3">
      <w:pPr>
        <w:adjustRightInd w:val="0"/>
        <w:snapToGrid w:val="0"/>
        <w:rPr>
          <w:rFonts w:ascii="Times New Roman" w:hAnsi="Times New Roman" w:cs="Times New Roman"/>
        </w:rPr>
      </w:pPr>
    </w:p>
    <w:p w:rsidR="00E652A3" w:rsidRDefault="00E652A3" w:rsidP="00E652A3"/>
    <w:p w:rsidR="000D265F" w:rsidRDefault="000D265F"/>
    <w:sectPr w:rsidR="000D265F" w:rsidSect="00F56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E652A3"/>
    <w:rsid w:val="000D265F"/>
    <w:rsid w:val="00E65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semiHidden/>
    <w:unhideWhenUsed/>
    <w:rsid w:val="00E652A3"/>
    <w:pPr>
      <w:spacing w:after="0" w:line="240" w:lineRule="auto"/>
    </w:pPr>
    <w:rPr>
      <w:sz w:val="24"/>
      <w:szCs w:val="24"/>
    </w:rPr>
  </w:style>
  <w:style w:type="table" w:customStyle="1" w:styleId="GridTable4Accent1">
    <w:name w:val="Grid Table 4 Accent 1"/>
    <w:basedOn w:val="TableNormal"/>
    <w:uiPriority w:val="49"/>
    <w:rsid w:val="00E652A3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2023-01-14T08:03:00Z</dcterms:created>
  <dcterms:modified xsi:type="dcterms:W3CDTF">2023-01-14T08:03:00Z</dcterms:modified>
</cp:coreProperties>
</file>